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华文中宋" w:hAnsi="华文中宋" w:eastAsia="华文中宋" w:cs="仿宋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</w:rPr>
        <w:t>埋地燃气管道探测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培训班</w:t>
      </w: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</w:rPr>
        <w:t>内容</w:t>
      </w:r>
    </w:p>
    <w:p>
      <w:pPr>
        <w:spacing w:line="540" w:lineRule="exact"/>
        <w:rPr>
          <w:rFonts w:ascii="仿宋_GB2312" w:eastAsia="仿宋_GB2312"/>
          <w:sz w:val="36"/>
          <w:szCs w:val="36"/>
        </w:rPr>
      </w:pPr>
    </w:p>
    <w:tbl>
      <w:tblPr>
        <w:tblStyle w:val="14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151"/>
        <w:gridCol w:w="3046"/>
        <w:gridCol w:w="8"/>
        <w:gridCol w:w="1455"/>
        <w:gridCol w:w="1237"/>
        <w:gridCol w:w="11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Times New Roman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序号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宋体" w:hAnsi="Times New Roman" w:cs="仿宋"/>
                <w:sz w:val="24"/>
              </w:rPr>
            </w:pPr>
            <w:r>
              <w:rPr>
                <w:rFonts w:hint="eastAsia" w:ascii="宋体" w:hAnsi="Times New Roman" w:cs="仿宋"/>
                <w:sz w:val="24"/>
              </w:rPr>
              <w:t>时间</w:t>
            </w:r>
          </w:p>
        </w:tc>
        <w:tc>
          <w:tcPr>
            <w:tcW w:w="3054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培训内容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Times New Roman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课时安排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培训老师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 w:hAnsi="Times New Roman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ascii="宋体" w:eastAsia="宋体" w:cs="仿宋"/>
                <w:szCs w:val="21"/>
              </w:rPr>
            </w:pPr>
            <w:bookmarkStart w:id="0" w:name="_Hlk72306547"/>
            <w:r>
              <w:rPr>
                <w:rFonts w:hint="eastAsia" w:ascii="宋体" w:hAnsi="宋体" w:cs="仿宋"/>
                <w:szCs w:val="21"/>
              </w:rPr>
              <w:t>第一天</w:t>
            </w:r>
          </w:p>
        </w:tc>
        <w:tc>
          <w:tcPr>
            <w:tcW w:w="2151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  <w:r>
              <w:rPr>
                <w:rFonts w:hint="eastAsia" w:ascii="宋体" w:hAnsi="Times New Roman" w:cs="仿宋"/>
                <w:szCs w:val="21"/>
              </w:rPr>
              <w:t>埋地钢质管道探测</w:t>
            </w:r>
          </w:p>
        </w:tc>
        <w:tc>
          <w:tcPr>
            <w:tcW w:w="3054" w:type="dxa"/>
            <w:gridSpan w:val="2"/>
            <w:vAlign w:val="center"/>
          </w:tcPr>
          <w:p>
            <w:pPr>
              <w:rPr>
                <w:rFonts w:hint="default" w:ascii="宋体" w:hAnsi="Times New Roman" w:eastAsia="宋体fal" w:cs="仿宋"/>
                <w:szCs w:val="21"/>
                <w:lang w:val="en-US" w:eastAsia="zh-CN"/>
              </w:rPr>
            </w:pPr>
            <w:r>
              <w:rPr>
                <w:rFonts w:hint="eastAsia" w:ascii="宋体" w:hAnsi="Times New Roman" w:cs="仿宋"/>
                <w:szCs w:val="21"/>
                <w:lang w:val="en-US" w:eastAsia="zh-CN"/>
              </w:rPr>
              <w:t>埋地管道探测方法介绍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48" w:type="dxa"/>
            <w:gridSpan w:val="2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shd w:val="clear" w:color="auto" w:fill="FFFF00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2151" w:type="dxa"/>
            <w:vMerge w:val="continue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3054" w:type="dxa"/>
            <w:gridSpan w:val="2"/>
            <w:vAlign w:val="center"/>
          </w:tcPr>
          <w:p>
            <w:pPr>
              <w:rPr>
                <w:rFonts w:hint="default" w:ascii="宋体" w:hAnsi="Times New Roman" w:eastAsia="宋体fal" w:cs="仿宋"/>
                <w:szCs w:val="21"/>
                <w:lang w:val="en-US" w:eastAsia="zh-CN"/>
              </w:rPr>
            </w:pPr>
            <w:r>
              <w:rPr>
                <w:rFonts w:hint="eastAsia" w:ascii="宋体" w:hAnsi="Times New Roman" w:cs="仿宋"/>
                <w:szCs w:val="21"/>
                <w:lang w:val="en-US" w:eastAsia="zh-CN"/>
              </w:rPr>
              <w:t>埋地钢管外防腐层检测分析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shd w:val="clear" w:color="auto" w:fill="FFFF00"/>
          </w:tcPr>
          <w:p>
            <w:pPr>
              <w:rPr>
                <w:rFonts w:ascii="宋体" w:eastAsia="宋体" w:cs="仿宋"/>
                <w:szCs w:val="21"/>
              </w:rPr>
            </w:pPr>
          </w:p>
        </w:tc>
        <w:tc>
          <w:tcPr>
            <w:tcW w:w="2151" w:type="dxa"/>
            <w:vMerge w:val="continue"/>
          </w:tcPr>
          <w:p/>
        </w:tc>
        <w:tc>
          <w:tcPr>
            <w:tcW w:w="3054" w:type="dxa"/>
            <w:gridSpan w:val="2"/>
            <w:vAlign w:val="center"/>
          </w:tcPr>
          <w:p>
            <w:pPr>
              <w:rPr>
                <w:rFonts w:ascii="宋体" w:hAnsi="Times New Roman" w:cs="仿宋"/>
                <w:szCs w:val="21"/>
              </w:rPr>
            </w:pPr>
            <w:r>
              <w:rPr>
                <w:rFonts w:hint="eastAsia" w:ascii="宋体" w:hAnsi="Times New Roman" w:cs="仿宋"/>
                <w:szCs w:val="21"/>
              </w:rPr>
              <w:t>探测实操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1.5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shd w:val="clear" w:color="auto" w:fill="FFFF00"/>
          </w:tcPr>
          <w:p>
            <w:pPr>
              <w:rPr>
                <w:rFonts w:ascii="宋体" w:eastAsia="宋体" w:cs="仿宋"/>
                <w:szCs w:val="21"/>
              </w:rPr>
            </w:pPr>
          </w:p>
        </w:tc>
        <w:tc>
          <w:tcPr>
            <w:tcW w:w="21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探地雷达探测</w:t>
            </w:r>
            <w:bookmarkStart w:id="1" w:name="_GoBack"/>
            <w:bookmarkEnd w:id="1"/>
          </w:p>
        </w:tc>
        <w:tc>
          <w:tcPr>
            <w:tcW w:w="3054" w:type="dxa"/>
            <w:gridSpan w:val="2"/>
            <w:vAlign w:val="center"/>
          </w:tcPr>
          <w:p>
            <w:pPr>
              <w:rPr>
                <w:rFonts w:ascii="宋体" w:hAnsi="Times New Roman" w:cs="仿宋"/>
                <w:szCs w:val="21"/>
              </w:rPr>
            </w:pPr>
            <w:r>
              <w:rPr>
                <w:rFonts w:hint="eastAsia"/>
              </w:rPr>
              <w:t>探地雷达探测原理简介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vMerge w:val="continue"/>
            <w:shd w:val="clear" w:color="auto" w:fill="FFFF00"/>
          </w:tcPr>
          <w:p>
            <w:pPr>
              <w:rPr>
                <w:rFonts w:ascii="宋体" w:eastAsia="宋体" w:cs="仿宋"/>
                <w:szCs w:val="21"/>
              </w:rPr>
            </w:pPr>
          </w:p>
        </w:tc>
        <w:tc>
          <w:tcPr>
            <w:tcW w:w="2151" w:type="dxa"/>
            <w:vMerge w:val="continue"/>
          </w:tcPr>
          <w:p/>
        </w:tc>
        <w:tc>
          <w:tcPr>
            <w:tcW w:w="3054" w:type="dxa"/>
            <w:gridSpan w:val="2"/>
            <w:vAlign w:val="center"/>
          </w:tcPr>
          <w:p>
            <w:pPr>
              <w:rPr>
                <w:rFonts w:ascii="宋体" w:hAnsi="Times New Roman" w:cs="仿宋"/>
                <w:szCs w:val="21"/>
              </w:rPr>
            </w:pPr>
            <w:r>
              <w:rPr>
                <w:rFonts w:hint="eastAsia" w:ascii="宋体" w:hAnsi="Times New Roman" w:cs="仿宋"/>
                <w:szCs w:val="21"/>
              </w:rPr>
              <w:t>雷达探测埋地管道方法简介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0.5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08" w:type="dxa"/>
            <w:vMerge w:val="continue"/>
            <w:shd w:val="clear" w:color="auto" w:fill="FFFF00"/>
          </w:tcPr>
          <w:p>
            <w:pPr>
              <w:rPr>
                <w:rFonts w:ascii="宋体" w:eastAsia="宋体" w:cs="仿宋"/>
                <w:szCs w:val="21"/>
              </w:rPr>
            </w:pPr>
          </w:p>
        </w:tc>
        <w:tc>
          <w:tcPr>
            <w:tcW w:w="2151" w:type="dxa"/>
            <w:vMerge w:val="continue"/>
          </w:tcPr>
          <w:p/>
        </w:tc>
        <w:tc>
          <w:tcPr>
            <w:tcW w:w="3054" w:type="dxa"/>
            <w:gridSpan w:val="2"/>
            <w:vAlign w:val="center"/>
          </w:tcPr>
          <w:p>
            <w:pPr>
              <w:rPr>
                <w:rFonts w:ascii="宋体" w:hAnsi="Times New Roman" w:cs="仿宋"/>
                <w:szCs w:val="21"/>
              </w:rPr>
            </w:pPr>
            <w:r>
              <w:rPr>
                <w:rFonts w:hint="eastAsia" w:ascii="宋体" w:hAnsi="Times New Roman" w:cs="仿宋"/>
                <w:szCs w:val="21"/>
              </w:rPr>
              <w:t>雷达图像分析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0.5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shd w:val="clear" w:color="auto" w:fill="FFFF00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2151" w:type="dxa"/>
            <w:vMerge w:val="continue"/>
          </w:tcPr>
          <w:p/>
        </w:tc>
        <w:tc>
          <w:tcPr>
            <w:tcW w:w="3054" w:type="dxa"/>
            <w:gridSpan w:val="2"/>
            <w:vAlign w:val="center"/>
          </w:tcPr>
          <w:p>
            <w:pPr>
              <w:rPr>
                <w:rFonts w:ascii="宋体" w:hAnsi="Times New Roman" w:cs="仿宋"/>
                <w:szCs w:val="21"/>
              </w:rPr>
            </w:pPr>
            <w:r>
              <w:rPr>
                <w:rFonts w:hint="eastAsia" w:ascii="宋体" w:hAnsi="Times New Roman" w:cs="仿宋"/>
                <w:szCs w:val="21"/>
              </w:rPr>
              <w:t>探测实操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1.5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  <w:r>
              <w:rPr>
                <w:rFonts w:hint="eastAsia" w:ascii="宋体" w:hAnsi="Times New Roman" w:cs="仿宋"/>
                <w:szCs w:val="21"/>
              </w:rPr>
              <w:t>第二天</w:t>
            </w:r>
          </w:p>
        </w:tc>
        <w:tc>
          <w:tcPr>
            <w:tcW w:w="21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埋地</w:t>
            </w:r>
            <w:r>
              <w:t>PE</w:t>
            </w:r>
            <w:r>
              <w:rPr>
                <w:rFonts w:hint="eastAsia"/>
              </w:rPr>
              <w:t>管道探测</w:t>
            </w:r>
          </w:p>
        </w:tc>
        <w:tc>
          <w:tcPr>
            <w:tcW w:w="3054" w:type="dxa"/>
            <w:gridSpan w:val="2"/>
            <w:vAlign w:val="center"/>
          </w:tcPr>
          <w:p>
            <w:r>
              <w:rPr>
                <w:rFonts w:hint="eastAsia"/>
              </w:rPr>
              <w:t>声波探测方法原理简介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eastAsia="宋体" w:cs="Calibri"/>
                <w:kern w:val="0"/>
                <w:szCs w:val="21"/>
              </w:rPr>
            </w:pPr>
            <w:r>
              <w:rPr>
                <w:rFonts w:eastAsia="宋体" w:cs="Calibri"/>
                <w:kern w:val="0"/>
                <w:szCs w:val="21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shd w:val="clear" w:color="auto" w:fill="FFFF00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2151" w:type="dxa"/>
            <w:vMerge w:val="continue"/>
          </w:tcPr>
          <w:p/>
        </w:tc>
        <w:tc>
          <w:tcPr>
            <w:tcW w:w="3054" w:type="dxa"/>
            <w:gridSpan w:val="2"/>
            <w:vAlign w:val="center"/>
          </w:tcPr>
          <w:p>
            <w:pPr>
              <w:rPr>
                <w:rFonts w:ascii="宋体" w:hAnsi="Times New Roman" w:cs="仿宋"/>
                <w:szCs w:val="21"/>
              </w:rPr>
            </w:pPr>
            <w:r>
              <w:rPr>
                <w:rFonts w:hint="eastAsia" w:ascii="宋体" w:hAnsi="Times New Roman" w:cs="仿宋"/>
                <w:szCs w:val="21"/>
              </w:rPr>
              <w:t>声波探测方法介绍及优缺点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0.5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shd w:val="clear" w:color="auto" w:fill="FF00FF"/>
          </w:tcPr>
          <w:p>
            <w:pPr>
              <w:jc w:val="center"/>
              <w:rPr>
                <w:rFonts w:ascii="宋体" w:eastAsia="宋体" w:cs="仿宋"/>
                <w:szCs w:val="21"/>
              </w:rPr>
            </w:pPr>
          </w:p>
        </w:tc>
        <w:tc>
          <w:tcPr>
            <w:tcW w:w="2151" w:type="dxa"/>
            <w:vMerge w:val="continue"/>
            <w:shd w:val="clear" w:color="auto" w:fill="FF00FF"/>
          </w:tcPr>
          <w:p/>
        </w:tc>
        <w:tc>
          <w:tcPr>
            <w:tcW w:w="3054" w:type="dxa"/>
            <w:gridSpan w:val="2"/>
          </w:tcPr>
          <w:p>
            <w:pPr>
              <w:rPr>
                <w:rFonts w:ascii="宋体" w:hAnsi="Times New Roman" w:cs="仿宋"/>
                <w:szCs w:val="21"/>
              </w:rPr>
            </w:pPr>
            <w:r>
              <w:rPr>
                <w:rFonts w:hint="eastAsia" w:ascii="宋体" w:hAnsi="Times New Roman" w:cs="仿宋"/>
                <w:szCs w:val="21"/>
              </w:rPr>
              <w:t>埋地</w:t>
            </w:r>
            <w:r>
              <w:rPr>
                <w:rFonts w:ascii="宋体" w:hAnsi="Times New Roman" w:cs="仿宋"/>
                <w:szCs w:val="21"/>
              </w:rPr>
              <w:t>PE</w:t>
            </w:r>
            <w:r>
              <w:rPr>
                <w:rFonts w:hint="eastAsia" w:ascii="宋体" w:hAnsi="Times New Roman" w:cs="仿宋"/>
                <w:szCs w:val="21"/>
              </w:rPr>
              <w:t>管道综合探测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shd w:val="clear" w:color="auto" w:fill="00CCFF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2151" w:type="dxa"/>
            <w:vMerge w:val="continue"/>
            <w:shd w:val="clear" w:color="auto" w:fill="CCFFCC"/>
          </w:tcPr>
          <w:p/>
        </w:tc>
        <w:tc>
          <w:tcPr>
            <w:tcW w:w="3054" w:type="dxa"/>
            <w:gridSpan w:val="2"/>
          </w:tcPr>
          <w:p>
            <w:pPr>
              <w:rPr>
                <w:rFonts w:ascii="宋体" w:hAnsi="Times New Roman" w:cs="仿宋"/>
                <w:szCs w:val="21"/>
              </w:rPr>
            </w:pPr>
            <w:r>
              <w:rPr>
                <w:rFonts w:hint="eastAsia" w:ascii="宋体" w:hAnsi="Times New Roman" w:cs="仿宋"/>
                <w:szCs w:val="21"/>
              </w:rPr>
              <w:t>声波探测实操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1.5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shd w:val="clear" w:color="auto" w:fill="00CCFF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21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cs="仿宋"/>
                <w:szCs w:val="21"/>
              </w:rPr>
              <w:t>陀螺仪测量</w:t>
            </w:r>
          </w:p>
        </w:tc>
        <w:tc>
          <w:tcPr>
            <w:tcW w:w="3054" w:type="dxa"/>
            <w:gridSpan w:val="2"/>
          </w:tcPr>
          <w:p>
            <w:pPr>
              <w:rPr>
                <w:rFonts w:ascii="宋体" w:hAnsi="Times New Roman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陀螺仪基础理论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shd w:val="clear" w:color="auto" w:fill="00CCFF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2151" w:type="dxa"/>
            <w:vMerge w:val="continue"/>
            <w:shd w:val="clear" w:color="auto" w:fill="FFFF00"/>
            <w:vAlign w:val="center"/>
          </w:tcPr>
          <w:p>
            <w:pPr>
              <w:jc w:val="center"/>
            </w:pPr>
          </w:p>
        </w:tc>
        <w:tc>
          <w:tcPr>
            <w:tcW w:w="3046" w:type="dxa"/>
            <w:vAlign w:val="center"/>
          </w:tcPr>
          <w:p>
            <w:pPr>
              <w:rPr>
                <w:rFonts w:ascii="宋体" w:hAnsi="Times New Roman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陀螺仪测量仪器构造与工作原理、数据分析处理理论简介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8" w:type="dxa"/>
            <w:vMerge w:val="continue"/>
            <w:shd w:val="clear" w:color="auto" w:fill="00CCFF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2151" w:type="dxa"/>
            <w:vMerge w:val="continue"/>
            <w:shd w:val="clear" w:color="auto" w:fill="CCFFCC"/>
            <w:vAlign w:val="center"/>
          </w:tcPr>
          <w:p>
            <w:pPr>
              <w:jc w:val="center"/>
            </w:pPr>
          </w:p>
        </w:tc>
        <w:tc>
          <w:tcPr>
            <w:tcW w:w="3054" w:type="dxa"/>
            <w:gridSpan w:val="2"/>
            <w:vAlign w:val="center"/>
          </w:tcPr>
          <w:p>
            <w:pPr>
              <w:rPr>
                <w:rFonts w:ascii="宋体" w:hAnsi="Times New Roman" w:cs="仿宋"/>
                <w:b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陀螺仪实操检测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1.5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shd w:val="clear" w:color="auto" w:fill="00CCFF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2151" w:type="dxa"/>
            <w:vMerge w:val="continue"/>
            <w:shd w:val="clear" w:color="auto" w:fill="CCFFCC"/>
          </w:tcPr>
          <w:p/>
        </w:tc>
        <w:tc>
          <w:tcPr>
            <w:tcW w:w="3054" w:type="dxa"/>
            <w:gridSpan w:val="2"/>
            <w:vAlign w:val="center"/>
          </w:tcPr>
          <w:p>
            <w:pPr>
              <w:rPr>
                <w:rFonts w:ascii="宋体" w:eastAsia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陀螺仪检测数据分析方法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0.5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08" w:type="dxa"/>
            <w:vMerge w:val="continue"/>
            <w:shd w:val="clear" w:color="auto" w:fill="00CCFF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2151" w:type="dxa"/>
            <w:vMerge w:val="continue"/>
            <w:shd w:val="clear" w:color="auto" w:fill="CCFFCC"/>
          </w:tcPr>
          <w:p/>
        </w:tc>
        <w:tc>
          <w:tcPr>
            <w:tcW w:w="3054" w:type="dxa"/>
            <w:gridSpan w:val="2"/>
          </w:tcPr>
          <w:p>
            <w:pPr>
              <w:rPr>
                <w:rFonts w:ascii="宋体" w:hAnsi="Times New Roman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数据误差分析、仪器优缺点分析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0.5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szCs w:val="21"/>
              </w:rPr>
            </w:pPr>
          </w:p>
        </w:tc>
        <w:tc>
          <w:tcPr>
            <w:tcW w:w="912" w:type="dxa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08" w:type="dxa"/>
          </w:tcPr>
          <w:p>
            <w:pPr>
              <w:rPr>
                <w:rFonts w:ascii="宋体" w:eastAsia="宋体" w:cs="仿宋"/>
                <w:szCs w:val="21"/>
              </w:rPr>
            </w:pPr>
          </w:p>
        </w:tc>
        <w:tc>
          <w:tcPr>
            <w:tcW w:w="2151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3054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b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Times New Roman" w:cs="仿宋"/>
                <w:b/>
                <w:sz w:val="24"/>
              </w:rPr>
            </w:pPr>
            <w:r>
              <w:rPr>
                <w:rFonts w:ascii="宋体" w:hAnsi="Times New Roman" w:cs="仿宋"/>
                <w:b/>
                <w:sz w:val="24"/>
              </w:rPr>
              <w:t>16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仿宋"/>
                <w:b/>
                <w:sz w:val="24"/>
              </w:rPr>
            </w:pPr>
          </w:p>
        </w:tc>
        <w:tc>
          <w:tcPr>
            <w:tcW w:w="912" w:type="dxa"/>
          </w:tcPr>
          <w:p>
            <w:pPr>
              <w:rPr>
                <w:rFonts w:ascii="宋体" w:hAnsi="Times New Roman" w:cs="仿宋"/>
                <w:szCs w:val="21"/>
              </w:rPr>
            </w:pPr>
          </w:p>
        </w:tc>
      </w:tr>
    </w:tbl>
    <w:p>
      <w:pPr>
        <w:spacing w:line="560" w:lineRule="exact"/>
        <w:rPr>
          <w:rFonts w:hint="default" w:ascii="仿宋_GB2312" w:hAnsi="仿宋" w:eastAsia="仿宋_GB2312" w:cs="仿宋"/>
          <w:sz w:val="30"/>
          <w:szCs w:val="30"/>
          <w:lang w:val="en-US" w:eastAsia="zh-CN"/>
        </w:rPr>
      </w:pPr>
    </w:p>
    <w:p>
      <w:pPr>
        <w:spacing w:line="560" w:lineRule="exact"/>
        <w:ind w:left="1400" w:hanging="1400" w:hangingChars="5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场地要求：探地雷达：金属管道，200mm口径以上，埋深1.5米左右，埋地PE管道200mm口径以上,埋深1m米左右。</w:t>
      </w:r>
    </w:p>
    <w:p>
      <w:pPr>
        <w:tabs>
          <w:tab w:val="left" w:pos="3867"/>
        </w:tabs>
        <w:spacing w:line="560" w:lineRule="exact"/>
        <w:ind w:firstLine="1400" w:firstLineChars="5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惯性陀螺仪实操场地：空管PE管，两端开口，无深度要求。</w:t>
      </w:r>
    </w:p>
    <w:p>
      <w:pPr>
        <w:tabs>
          <w:tab w:val="left" w:pos="3867"/>
        </w:tabs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声波PE管道探测仪：有放散阀，通气pE管，埋深2米以内，不要有钢套管。</w:t>
      </w:r>
    </w:p>
    <w:p>
      <w:pPr>
        <w:tabs>
          <w:tab w:val="left" w:pos="3867"/>
        </w:tabs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管线仪防腐检测仪：埋地金属管道，埋深6米以内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王龙：西安智光物联科技有限公司（燃气设备泄漏检测）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西安管畅环保科技有限公司（声波PE管探测设备）      </w:t>
      </w:r>
    </w:p>
    <w:p>
      <w:pPr>
        <w:numPr>
          <w:ilvl w:val="0"/>
          <w:numId w:val="2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周旭：武汉驰驭科技有限公司（探地雷达）</w:t>
      </w:r>
    </w:p>
    <w:p>
      <w:pPr>
        <w:tabs>
          <w:tab w:val="left" w:pos="3867"/>
        </w:tabs>
        <w:spacing w:line="560" w:lineRule="exac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3.杨亚男：北京零偏科技有限责任公司（惯性陀螺仪）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4EA608"/>
    <w:multiLevelType w:val="singleLevel"/>
    <w:tmpl w:val="F04EA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70F6865"/>
    <w:multiLevelType w:val="multilevel"/>
    <w:tmpl w:val="670F6865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7AA777D"/>
    <w:rsid w:val="000211C7"/>
    <w:rsid w:val="00036A4C"/>
    <w:rsid w:val="000D10AB"/>
    <w:rsid w:val="001B3A15"/>
    <w:rsid w:val="001C1FF1"/>
    <w:rsid w:val="001E47C7"/>
    <w:rsid w:val="00246F30"/>
    <w:rsid w:val="003177ED"/>
    <w:rsid w:val="00346DEB"/>
    <w:rsid w:val="00351A95"/>
    <w:rsid w:val="00376043"/>
    <w:rsid w:val="003F4DC0"/>
    <w:rsid w:val="00407831"/>
    <w:rsid w:val="00443FBB"/>
    <w:rsid w:val="0055635C"/>
    <w:rsid w:val="005C76D3"/>
    <w:rsid w:val="006218ED"/>
    <w:rsid w:val="0063553B"/>
    <w:rsid w:val="006561AD"/>
    <w:rsid w:val="006843D4"/>
    <w:rsid w:val="00697D2C"/>
    <w:rsid w:val="007707AF"/>
    <w:rsid w:val="007A7C25"/>
    <w:rsid w:val="007D76E8"/>
    <w:rsid w:val="00844209"/>
    <w:rsid w:val="008D3266"/>
    <w:rsid w:val="00920A17"/>
    <w:rsid w:val="00A37211"/>
    <w:rsid w:val="00A47269"/>
    <w:rsid w:val="00A62016"/>
    <w:rsid w:val="00C3271E"/>
    <w:rsid w:val="00CB0D2B"/>
    <w:rsid w:val="00D948CA"/>
    <w:rsid w:val="00DF4CA2"/>
    <w:rsid w:val="00E81845"/>
    <w:rsid w:val="00EC0CFB"/>
    <w:rsid w:val="00F12810"/>
    <w:rsid w:val="00F4757F"/>
    <w:rsid w:val="00F8655F"/>
    <w:rsid w:val="00FB012F"/>
    <w:rsid w:val="00FC0390"/>
    <w:rsid w:val="021E5223"/>
    <w:rsid w:val="029A6081"/>
    <w:rsid w:val="0BDC2EB4"/>
    <w:rsid w:val="0F915A65"/>
    <w:rsid w:val="13EC721C"/>
    <w:rsid w:val="1DD009F3"/>
    <w:rsid w:val="1F8E59B9"/>
    <w:rsid w:val="27AA777D"/>
    <w:rsid w:val="2F2F6819"/>
    <w:rsid w:val="322D2BDB"/>
    <w:rsid w:val="327D03D0"/>
    <w:rsid w:val="3306604A"/>
    <w:rsid w:val="37474892"/>
    <w:rsid w:val="37AD3CE5"/>
    <w:rsid w:val="3CC02A4E"/>
    <w:rsid w:val="3D616B7C"/>
    <w:rsid w:val="42B0020A"/>
    <w:rsid w:val="4B423E55"/>
    <w:rsid w:val="538C19D7"/>
    <w:rsid w:val="598F52B9"/>
    <w:rsid w:val="74CD1E86"/>
    <w:rsid w:val="757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fal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3"/>
    <w:link w:val="16"/>
    <w:qFormat/>
    <w:uiPriority w:val="99"/>
    <w:pPr>
      <w:numPr>
        <w:ilvl w:val="0"/>
        <w:numId w:val="1"/>
      </w:numPr>
      <w:tabs>
        <w:tab w:val="left" w:pos="576"/>
        <w:tab w:val="clear" w:pos="432"/>
      </w:tabs>
      <w:spacing w:line="360" w:lineRule="auto"/>
      <w:ind w:left="0"/>
      <w:outlineLvl w:val="1"/>
    </w:pPr>
    <w:rPr>
      <w:rFonts w:ascii="Times New Roman" w:hAnsi="Times New Roman"/>
      <w:b/>
      <w:bCs/>
    </w:rPr>
  </w:style>
  <w:style w:type="paragraph" w:styleId="4">
    <w:name w:val="heading 3"/>
    <w:basedOn w:val="1"/>
    <w:next w:val="1"/>
    <w:link w:val="17"/>
    <w:qFormat/>
    <w:uiPriority w:val="9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8"/>
    <w:qFormat/>
    <w:uiPriority w:val="9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fal"/>
      <w:b/>
      <w:sz w:val="28"/>
    </w:rPr>
  </w:style>
  <w:style w:type="paragraph" w:styleId="6">
    <w:name w:val="heading 5"/>
    <w:basedOn w:val="1"/>
    <w:next w:val="1"/>
    <w:link w:val="19"/>
    <w:qFormat/>
    <w:uiPriority w:val="9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0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fal"/>
      <w:b/>
      <w:sz w:val="24"/>
    </w:rPr>
  </w:style>
  <w:style w:type="paragraph" w:styleId="8">
    <w:name w:val="heading 7"/>
    <w:basedOn w:val="1"/>
    <w:next w:val="1"/>
    <w:link w:val="21"/>
    <w:qFormat/>
    <w:uiPriority w:val="9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2"/>
    <w:qFormat/>
    <w:uiPriority w:val="9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fal"/>
      <w:sz w:val="24"/>
    </w:rPr>
  </w:style>
  <w:style w:type="paragraph" w:styleId="10">
    <w:name w:val="heading 9"/>
    <w:basedOn w:val="1"/>
    <w:next w:val="1"/>
    <w:link w:val="23"/>
    <w:qFormat/>
    <w:uiPriority w:val="9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fal"/>
    </w:rPr>
  </w:style>
  <w:style w:type="character" w:default="1" w:styleId="15">
    <w:name w:val="Default Paragraph Font"/>
    <w:semiHidden/>
    <w:qFormat/>
    <w:uiPriority w:val="99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</w:style>
  <w:style w:type="paragraph" w:styleId="11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25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6">
    <w:name w:val="Heading 2 Char"/>
    <w:basedOn w:val="15"/>
    <w:link w:val="2"/>
    <w:qFormat/>
    <w:locked/>
    <w:uiPriority w:val="99"/>
    <w:rPr>
      <w:rFonts w:ascii="Times New Roman" w:hAnsi="Times New Roman" w:eastAsia="宋体fal"/>
      <w:b/>
      <w:sz w:val="24"/>
    </w:rPr>
  </w:style>
  <w:style w:type="character" w:customStyle="1" w:styleId="17">
    <w:name w:val="Heading 3 Char"/>
    <w:basedOn w:val="15"/>
    <w:link w:val="4"/>
    <w:semiHidden/>
    <w:qFormat/>
    <w:locked/>
    <w:uiPriority w:val="99"/>
    <w:rPr>
      <w:rFonts w:ascii="Calibri" w:hAnsi="Calibri"/>
      <w:b/>
      <w:sz w:val="32"/>
    </w:rPr>
  </w:style>
  <w:style w:type="character" w:customStyle="1" w:styleId="18">
    <w:name w:val="Heading 4 Char"/>
    <w:basedOn w:val="15"/>
    <w:link w:val="5"/>
    <w:semiHidden/>
    <w:qFormat/>
    <w:locked/>
    <w:uiPriority w:val="99"/>
    <w:rPr>
      <w:rFonts w:ascii="Cambria" w:hAnsi="Cambria" w:eastAsia="宋体"/>
      <w:b/>
      <w:sz w:val="28"/>
    </w:rPr>
  </w:style>
  <w:style w:type="character" w:customStyle="1" w:styleId="19">
    <w:name w:val="Heading 5 Char"/>
    <w:basedOn w:val="15"/>
    <w:link w:val="6"/>
    <w:semiHidden/>
    <w:qFormat/>
    <w:locked/>
    <w:uiPriority w:val="99"/>
    <w:rPr>
      <w:rFonts w:ascii="Calibri" w:hAnsi="Calibri"/>
      <w:b/>
      <w:sz w:val="28"/>
    </w:rPr>
  </w:style>
  <w:style w:type="character" w:customStyle="1" w:styleId="20">
    <w:name w:val="Heading 6 Char"/>
    <w:basedOn w:val="15"/>
    <w:link w:val="7"/>
    <w:semiHidden/>
    <w:qFormat/>
    <w:locked/>
    <w:uiPriority w:val="99"/>
    <w:rPr>
      <w:rFonts w:ascii="Cambria" w:hAnsi="Cambria" w:eastAsia="宋体"/>
      <w:b/>
      <w:sz w:val="24"/>
    </w:rPr>
  </w:style>
  <w:style w:type="character" w:customStyle="1" w:styleId="21">
    <w:name w:val="Heading 7 Char"/>
    <w:basedOn w:val="15"/>
    <w:link w:val="8"/>
    <w:semiHidden/>
    <w:qFormat/>
    <w:locked/>
    <w:uiPriority w:val="99"/>
    <w:rPr>
      <w:rFonts w:ascii="Calibri" w:hAnsi="Calibri"/>
      <w:b/>
      <w:sz w:val="24"/>
    </w:rPr>
  </w:style>
  <w:style w:type="character" w:customStyle="1" w:styleId="22">
    <w:name w:val="Heading 8 Char"/>
    <w:basedOn w:val="15"/>
    <w:link w:val="9"/>
    <w:semiHidden/>
    <w:qFormat/>
    <w:locked/>
    <w:uiPriority w:val="99"/>
    <w:rPr>
      <w:rFonts w:ascii="Cambria" w:hAnsi="Cambria" w:eastAsia="宋体"/>
      <w:sz w:val="24"/>
    </w:rPr>
  </w:style>
  <w:style w:type="character" w:customStyle="1" w:styleId="23">
    <w:name w:val="Heading 9 Char"/>
    <w:basedOn w:val="15"/>
    <w:link w:val="10"/>
    <w:semiHidden/>
    <w:qFormat/>
    <w:locked/>
    <w:uiPriority w:val="99"/>
    <w:rPr>
      <w:rFonts w:ascii="Cambria" w:hAnsi="Cambria" w:eastAsia="宋体"/>
      <w:sz w:val="21"/>
    </w:rPr>
  </w:style>
  <w:style w:type="character" w:customStyle="1" w:styleId="24">
    <w:name w:val="Body Text Char"/>
    <w:basedOn w:val="15"/>
    <w:link w:val="3"/>
    <w:semiHidden/>
    <w:qFormat/>
    <w:locked/>
    <w:uiPriority w:val="99"/>
    <w:rPr>
      <w:rFonts w:ascii="Calibri" w:hAnsi="Calibri"/>
      <w:sz w:val="24"/>
    </w:rPr>
  </w:style>
  <w:style w:type="character" w:customStyle="1" w:styleId="25">
    <w:name w:val="Title Char"/>
    <w:basedOn w:val="15"/>
    <w:link w:val="13"/>
    <w:qFormat/>
    <w:locked/>
    <w:uiPriority w:val="99"/>
    <w:rPr>
      <w:rFonts w:ascii="Cambria" w:hAnsi="Cambria" w:eastAsia="宋体fal"/>
      <w:b/>
      <w:sz w:val="32"/>
    </w:rPr>
  </w:style>
  <w:style w:type="paragraph" w:customStyle="1" w:styleId="26">
    <w:name w:val="正常"/>
    <w:qFormat/>
    <w:uiPriority w:val="99"/>
    <w:pPr>
      <w:spacing w:line="360" w:lineRule="auto"/>
    </w:pPr>
    <w:rPr>
      <w:rFonts w:ascii="Times New Roman" w:hAnsi="Times New Roman" w:eastAsia="宋体fal" w:cs="Times New Roman"/>
      <w:kern w:val="2"/>
      <w:sz w:val="22"/>
      <w:szCs w:val="22"/>
      <w:lang w:val="en-US" w:eastAsia="zh-CN" w:bidi="ar-SA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Header Char"/>
    <w:basedOn w:val="15"/>
    <w:link w:val="12"/>
    <w:semiHidden/>
    <w:qFormat/>
    <w:locked/>
    <w:uiPriority w:val="99"/>
    <w:rPr>
      <w:rFonts w:ascii="Calibri" w:hAnsi="Calibri"/>
      <w:sz w:val="18"/>
    </w:rPr>
  </w:style>
  <w:style w:type="character" w:customStyle="1" w:styleId="29">
    <w:name w:val="Footer Char"/>
    <w:basedOn w:val="15"/>
    <w:link w:val="11"/>
    <w:semiHidden/>
    <w:qFormat/>
    <w:locked/>
    <w:uiPriority w:val="99"/>
    <w:rPr>
      <w:rFonts w:ascii="Calibri" w:hAnsi="Calibri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61</Words>
  <Characters>350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2021-05-18T08:19:00Z</dcterms:created>
  <dc:creator>超</dc:creator>
  <cp:lastModifiedBy>BH</cp:lastModifiedBy>
  <dcterms:modified xsi:type="dcterms:W3CDTF">2021-07-02T01:49:29Z</dcterms:modified>
  <dc:title>第一期埋地PE管道示踪线施工与探测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